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4B93D966"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R1-16629</w:t>
      </w:r>
      <w:r w:rsidR="00C34876">
        <w:rPr>
          <w:rFonts w:ascii="Arial" w:hAnsi="Arial" w:cs="Arial"/>
          <w:b/>
          <w:bCs/>
          <w:sz w:val="28"/>
        </w:rPr>
        <w:t>9</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4F76FFB"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C34876">
        <w:rPr>
          <w:rFonts w:ascii="Arial" w:hAnsi="Arial" w:cs="Arial"/>
          <w:snapToGrid w:val="0"/>
          <w:sz w:val="24"/>
        </w:rPr>
        <w:t>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6DF191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C34876">
        <w:rPr>
          <w:rFonts w:ascii="Arial" w:hAnsi="Arial" w:cs="Arial"/>
          <w:snapToGrid w:val="0"/>
          <w:sz w:val="24"/>
        </w:rPr>
        <w:t>multicast</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24D8DEB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C34876">
        <w:rPr>
          <w:rFonts w:ascii="Times New Roman"/>
          <w:snapToGrid w:val="0"/>
          <w:kern w:val="0"/>
          <w:sz w:val="22"/>
          <w:szCs w:val="22"/>
          <w:lang w:val="en-GB"/>
        </w:rPr>
        <w:t xml:space="preserve">multicast for </w:t>
      </w:r>
      <w:proofErr w:type="spellStart"/>
      <w:r w:rsidR="00C34876">
        <w:rPr>
          <w:rFonts w:ascii="Times New Roman"/>
          <w:snapToGrid w:val="0"/>
          <w:kern w:val="0"/>
          <w:sz w:val="22"/>
          <w:szCs w:val="22"/>
          <w:lang w:val="en-GB"/>
        </w:rPr>
        <w:t>eMTC</w:t>
      </w:r>
      <w:proofErr w:type="spellEnd"/>
      <w:r w:rsidR="00C34876">
        <w:rPr>
          <w:rFonts w:ascii="Times New Roman"/>
          <w:snapToGrid w:val="0"/>
          <w:kern w:val="0"/>
          <w:sz w:val="22"/>
          <w:szCs w:val="22"/>
          <w:lang w:val="en-GB"/>
        </w:rPr>
        <w:t xml:space="preserve"> UEs</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6F7378CE" w:rsidR="00547160"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SC-PTM reception in idle mode</w:t>
      </w:r>
    </w:p>
    <w:p w14:paraId="7C525114" w14:textId="77777777" w:rsidR="00C34876" w:rsidRDefault="00C34876" w:rsidP="00C34876">
      <w:pPr>
        <w:pStyle w:val="LGTdoc1"/>
        <w:spacing w:beforeLines="0" w:before="120" w:after="220" w:afterAutospacing="0"/>
        <w:rPr>
          <w:b w:val="0"/>
          <w:sz w:val="22"/>
          <w:szCs w:val="22"/>
        </w:rPr>
      </w:pPr>
      <w:r w:rsidRPr="00C34876">
        <w:rPr>
          <w:b w:val="0"/>
          <w:sz w:val="22"/>
          <w:szCs w:val="22"/>
        </w:rPr>
        <w:t xml:space="preserve">For </w:t>
      </w:r>
      <w:proofErr w:type="spellStart"/>
      <w:r>
        <w:rPr>
          <w:b w:val="0"/>
          <w:sz w:val="22"/>
          <w:szCs w:val="22"/>
        </w:rPr>
        <w:t>FeMTC</w:t>
      </w:r>
      <w:proofErr w:type="spellEnd"/>
      <w:r>
        <w:rPr>
          <w:b w:val="0"/>
          <w:sz w:val="22"/>
          <w:szCs w:val="22"/>
        </w:rPr>
        <w:t xml:space="preserve"> [1] broadcast/multicast information is delivered via SC-PTM. One of the main objectives of multicast is to deliver software updates to multiple devices, which may be not feasible to perform in </w:t>
      </w:r>
      <w:proofErr w:type="gramStart"/>
      <w:r>
        <w:rPr>
          <w:b w:val="0"/>
          <w:sz w:val="22"/>
          <w:szCs w:val="22"/>
        </w:rPr>
        <w:t>an</w:t>
      </w:r>
      <w:proofErr w:type="gramEnd"/>
      <w:r>
        <w:rPr>
          <w:b w:val="0"/>
          <w:sz w:val="22"/>
          <w:szCs w:val="22"/>
        </w:rPr>
        <w:t xml:space="preserve"> unicast way due to the large number of expected M2M devices in a given cell.</w:t>
      </w:r>
    </w:p>
    <w:p w14:paraId="0FE92950" w14:textId="019F9DF6" w:rsidR="00C34876" w:rsidRDefault="00C34876" w:rsidP="00C34876">
      <w:pPr>
        <w:pStyle w:val="LGTdoc1"/>
        <w:spacing w:beforeLines="0" w:before="120" w:after="220" w:afterAutospacing="0"/>
        <w:rPr>
          <w:b w:val="0"/>
          <w:sz w:val="22"/>
          <w:szCs w:val="22"/>
        </w:rPr>
      </w:pPr>
      <w:r>
        <w:rPr>
          <w:b w:val="0"/>
          <w:sz w:val="22"/>
          <w:szCs w:val="22"/>
        </w:rPr>
        <w:t xml:space="preserve">Due to the special characteristics of </w:t>
      </w:r>
      <w:proofErr w:type="spellStart"/>
      <w:r>
        <w:rPr>
          <w:b w:val="0"/>
          <w:sz w:val="22"/>
          <w:szCs w:val="22"/>
        </w:rPr>
        <w:t>eMTC</w:t>
      </w:r>
      <w:proofErr w:type="spellEnd"/>
      <w:r>
        <w:rPr>
          <w:b w:val="0"/>
          <w:sz w:val="22"/>
          <w:szCs w:val="22"/>
        </w:rPr>
        <w:t>, it may also not be feasible to force the UEs to move to connected mode when receiving this information:</w:t>
      </w:r>
    </w:p>
    <w:p w14:paraId="0596B4B8" w14:textId="4EBD067C" w:rsidR="00C34876" w:rsidRPr="00C34876" w:rsidRDefault="00C34876" w:rsidP="00C34876">
      <w:pPr>
        <w:pStyle w:val="LGTdoc1"/>
        <w:numPr>
          <w:ilvl w:val="0"/>
          <w:numId w:val="9"/>
        </w:numPr>
        <w:spacing w:beforeLines="0" w:before="120" w:after="220" w:afterAutospacing="0"/>
        <w:rPr>
          <w:b w:val="0"/>
          <w:sz w:val="22"/>
          <w:szCs w:val="22"/>
          <w:u w:val="single"/>
        </w:rPr>
      </w:pPr>
      <w:r w:rsidRPr="00C34876">
        <w:rPr>
          <w:b w:val="0"/>
          <w:sz w:val="22"/>
          <w:szCs w:val="22"/>
          <w:u w:val="single"/>
        </w:rPr>
        <w:t>Massive number of devices:</w:t>
      </w:r>
      <w:r>
        <w:rPr>
          <w:b w:val="0"/>
          <w:sz w:val="22"/>
          <w:szCs w:val="22"/>
        </w:rPr>
        <w:t xml:space="preserve"> It is expected that to have a large number of </w:t>
      </w:r>
      <w:proofErr w:type="spellStart"/>
      <w:r>
        <w:rPr>
          <w:b w:val="0"/>
          <w:sz w:val="22"/>
          <w:szCs w:val="22"/>
        </w:rPr>
        <w:t>eMTC</w:t>
      </w:r>
      <w:proofErr w:type="spellEnd"/>
      <w:r>
        <w:rPr>
          <w:b w:val="0"/>
          <w:sz w:val="22"/>
          <w:szCs w:val="22"/>
        </w:rPr>
        <w:t xml:space="preserve"> UEs in a given cell. Many of these UEs, however, have a very sparse duty cycle (e.g. one transmission per day), so the number of simultaneously connected UEs is expected to be much lower. Forcing all UEs in a cell to be connected when receiving multicast may be a bottleneck for the network and, therefore, is not recommended.</w:t>
      </w:r>
    </w:p>
    <w:p w14:paraId="34BCEC2B" w14:textId="6F7EEEDF" w:rsidR="00C34876" w:rsidRPr="00C34876" w:rsidRDefault="00C34876" w:rsidP="00C34876">
      <w:pPr>
        <w:pStyle w:val="LGTdoc1"/>
        <w:numPr>
          <w:ilvl w:val="0"/>
          <w:numId w:val="9"/>
        </w:numPr>
        <w:spacing w:beforeLines="0" w:before="120" w:after="220" w:afterAutospacing="0"/>
        <w:rPr>
          <w:b w:val="0"/>
          <w:sz w:val="22"/>
          <w:szCs w:val="22"/>
          <w:u w:val="single"/>
        </w:rPr>
      </w:pPr>
      <w:r>
        <w:rPr>
          <w:b w:val="0"/>
          <w:sz w:val="22"/>
          <w:szCs w:val="22"/>
          <w:u w:val="single"/>
        </w:rPr>
        <w:t xml:space="preserve">Simultaneous reception: </w:t>
      </w:r>
      <w:r>
        <w:rPr>
          <w:b w:val="0"/>
          <w:sz w:val="22"/>
          <w:szCs w:val="22"/>
        </w:rPr>
        <w:t xml:space="preserve">When a UE is in connected mode, it monitors MPDCCH USS to obtain downlink and uplink grants to transmit data. Due to half duplex and narrowband operation, </w:t>
      </w:r>
      <w:proofErr w:type="spellStart"/>
      <w:r>
        <w:rPr>
          <w:b w:val="0"/>
          <w:sz w:val="22"/>
          <w:szCs w:val="22"/>
        </w:rPr>
        <w:t>eMTC</w:t>
      </w:r>
      <w:proofErr w:type="spellEnd"/>
      <w:r>
        <w:rPr>
          <w:b w:val="0"/>
          <w:sz w:val="22"/>
          <w:szCs w:val="22"/>
        </w:rPr>
        <w:t xml:space="preserve"> UEs cannot perform simultaneous reception in different </w:t>
      </w:r>
      <w:proofErr w:type="spellStart"/>
      <w:r>
        <w:rPr>
          <w:b w:val="0"/>
          <w:sz w:val="22"/>
          <w:szCs w:val="22"/>
        </w:rPr>
        <w:t>narrowbands</w:t>
      </w:r>
      <w:proofErr w:type="spellEnd"/>
      <w:r>
        <w:rPr>
          <w:b w:val="0"/>
          <w:sz w:val="22"/>
          <w:szCs w:val="22"/>
        </w:rPr>
        <w:t>, or transmit and receive at the same time. Thus, when receiving SC-PTM, the UE may not be able to simultaneously monitor its MPDCCH USS and connected mode procedures may be challenging to achieve.</w:t>
      </w:r>
    </w:p>
    <w:p w14:paraId="17F6BB5F" w14:textId="4A3951CB" w:rsidR="00C34876" w:rsidRPr="00C34876" w:rsidRDefault="00C34876" w:rsidP="00C34876">
      <w:pPr>
        <w:pStyle w:val="LGTdoc1"/>
        <w:spacing w:beforeLines="0" w:before="120" w:after="220" w:afterAutospacing="0"/>
        <w:rPr>
          <w:b w:val="0"/>
          <w:sz w:val="22"/>
          <w:szCs w:val="22"/>
        </w:rPr>
      </w:pPr>
      <w:r>
        <w:rPr>
          <w:b w:val="0"/>
          <w:sz w:val="22"/>
          <w:szCs w:val="22"/>
        </w:rPr>
        <w:t>A simple solution to these two issues is to enable idle mode reception of SC-PTM, so that UEs do not need to be connected when receiving the multicast information, and also the UE is not expected to receive unicast assignments during this reception.</w:t>
      </w:r>
    </w:p>
    <w:p w14:paraId="26B3A417" w14:textId="001B2F11" w:rsidR="00C34876" w:rsidRPr="00C34876" w:rsidRDefault="00C34876" w:rsidP="00C34876">
      <w:pPr>
        <w:pStyle w:val="LGTdoc1"/>
        <w:spacing w:beforeLines="0" w:before="120" w:after="220" w:afterAutospacing="0"/>
        <w:rPr>
          <w:sz w:val="22"/>
          <w:szCs w:val="22"/>
        </w:rPr>
      </w:pPr>
      <w:r w:rsidRPr="00C34876">
        <w:rPr>
          <w:sz w:val="22"/>
          <w:szCs w:val="22"/>
          <w:u w:val="single"/>
        </w:rPr>
        <w:t>Proposal 1:</w:t>
      </w:r>
      <w:r>
        <w:rPr>
          <w:sz w:val="22"/>
          <w:szCs w:val="22"/>
        </w:rPr>
        <w:t xml:space="preserve"> Enable idle mode reception of SC-PTM</w:t>
      </w:r>
    </w:p>
    <w:p w14:paraId="02926DED" w14:textId="765A3C53" w:rsidR="00C34876" w:rsidRDefault="00BB5BCC" w:rsidP="00BB5BCC">
      <w:pPr>
        <w:pStyle w:val="LGTdoc0"/>
        <w:spacing w:afterLines="0" w:after="120" w:line="240" w:lineRule="auto"/>
        <w:rPr>
          <w:szCs w:val="22"/>
        </w:rPr>
      </w:pPr>
      <w:r>
        <w:rPr>
          <w:szCs w:val="22"/>
        </w:rPr>
        <w:t xml:space="preserve">Also, similarly to paging monitoring, a UE is not expected to monitor SC-PTM when in connected mode. In such a case, the </w:t>
      </w:r>
      <w:proofErr w:type="spellStart"/>
      <w:r>
        <w:rPr>
          <w:szCs w:val="22"/>
        </w:rPr>
        <w:t>eNB</w:t>
      </w:r>
      <w:proofErr w:type="spellEnd"/>
      <w:r>
        <w:rPr>
          <w:szCs w:val="22"/>
        </w:rPr>
        <w:t xml:space="preserve"> should release the RRC connection and move the UE to idle mode to enable this reception.</w:t>
      </w:r>
    </w:p>
    <w:p w14:paraId="07E9E50D" w14:textId="7886C28E" w:rsidR="00BB5BCC" w:rsidRPr="00C34876" w:rsidRDefault="00BB5BCC" w:rsidP="00BB5BCC">
      <w:pPr>
        <w:pStyle w:val="LGTdoc1"/>
        <w:spacing w:beforeLines="0" w:before="120" w:after="220" w:afterAutospacing="0"/>
        <w:rPr>
          <w:sz w:val="22"/>
          <w:szCs w:val="22"/>
        </w:rPr>
      </w:pPr>
      <w:r w:rsidRPr="00C34876">
        <w:rPr>
          <w:sz w:val="22"/>
          <w:szCs w:val="22"/>
          <w:u w:val="single"/>
        </w:rPr>
        <w:t xml:space="preserve">Proposal </w:t>
      </w:r>
      <w:r>
        <w:rPr>
          <w:sz w:val="22"/>
          <w:szCs w:val="22"/>
          <w:u w:val="single"/>
        </w:rPr>
        <w:t>2</w:t>
      </w:r>
      <w:r w:rsidRPr="00C34876">
        <w:rPr>
          <w:sz w:val="22"/>
          <w:szCs w:val="22"/>
          <w:u w:val="single"/>
        </w:rPr>
        <w:t>:</w:t>
      </w:r>
      <w:r>
        <w:rPr>
          <w:sz w:val="22"/>
          <w:szCs w:val="22"/>
        </w:rPr>
        <w:t xml:space="preserve"> Similarly to paging monitoring, a UE is not expected to receive SC-PTM while in connected mode. The </w:t>
      </w:r>
      <w:proofErr w:type="spellStart"/>
      <w:r>
        <w:rPr>
          <w:sz w:val="22"/>
          <w:szCs w:val="22"/>
        </w:rPr>
        <w:t>eNB</w:t>
      </w:r>
      <w:proofErr w:type="spellEnd"/>
      <w:r>
        <w:rPr>
          <w:sz w:val="22"/>
          <w:szCs w:val="22"/>
        </w:rPr>
        <w:t xml:space="preserve"> should release the connection to enable this monitoring.</w:t>
      </w:r>
    </w:p>
    <w:p w14:paraId="05041017" w14:textId="77777777" w:rsidR="00BB5BCC" w:rsidRDefault="00BB5BCC" w:rsidP="00BB5BCC">
      <w:pPr>
        <w:pStyle w:val="LGTdoc0"/>
        <w:spacing w:afterLines="0" w:after="120" w:line="240" w:lineRule="auto"/>
        <w:rPr>
          <w:szCs w:val="22"/>
        </w:rPr>
      </w:pPr>
    </w:p>
    <w:p w14:paraId="64E2AFBB" w14:textId="77777777" w:rsidR="00BB5BCC" w:rsidRPr="00111B9A" w:rsidRDefault="00BB5BCC" w:rsidP="00BB5BCC">
      <w:pPr>
        <w:pStyle w:val="LGTdoc0"/>
        <w:spacing w:afterLines="0" w:after="120" w:line="240" w:lineRule="auto"/>
        <w:rPr>
          <w:szCs w:val="22"/>
        </w:rPr>
      </w:pPr>
    </w:p>
    <w:p w14:paraId="468FC5A2" w14:textId="333EE446" w:rsidR="00C34876" w:rsidRDefault="00C34876" w:rsidP="00C34876">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Control vs control-less reception of SC-PTM</w:t>
      </w:r>
    </w:p>
    <w:p w14:paraId="0104E12B" w14:textId="48736070" w:rsidR="00C34876" w:rsidRDefault="00C34876" w:rsidP="00C34876">
      <w:pPr>
        <w:pStyle w:val="LGTdoc1"/>
        <w:spacing w:beforeLines="0" w:before="120" w:after="220" w:afterAutospacing="0"/>
        <w:rPr>
          <w:b w:val="0"/>
          <w:sz w:val="22"/>
          <w:szCs w:val="22"/>
        </w:rPr>
      </w:pPr>
      <w:r>
        <w:rPr>
          <w:b w:val="0"/>
          <w:sz w:val="22"/>
          <w:szCs w:val="22"/>
        </w:rPr>
        <w:t xml:space="preserve">In legacy LTE, SC-PTM is achieved by monitoring PDCCH scrambled by G-RNTI, which schedules the corresponding PDSCH. </w:t>
      </w:r>
      <w:r w:rsidR="005142E4">
        <w:rPr>
          <w:b w:val="0"/>
          <w:sz w:val="22"/>
          <w:szCs w:val="22"/>
        </w:rPr>
        <w:t xml:space="preserve">While this procedure offers some flexibility, it has some problems when applied to </w:t>
      </w:r>
      <w:proofErr w:type="spellStart"/>
      <w:r w:rsidR="005142E4">
        <w:rPr>
          <w:b w:val="0"/>
          <w:sz w:val="22"/>
          <w:szCs w:val="22"/>
        </w:rPr>
        <w:t>eMTC</w:t>
      </w:r>
      <w:proofErr w:type="spellEnd"/>
      <w:r w:rsidR="005142E4">
        <w:rPr>
          <w:b w:val="0"/>
          <w:sz w:val="22"/>
          <w:szCs w:val="22"/>
        </w:rPr>
        <w:t xml:space="preserve"> UEs:</w:t>
      </w:r>
    </w:p>
    <w:p w14:paraId="0D477664" w14:textId="518FBFC7" w:rsidR="005142E4" w:rsidRPr="005142E4" w:rsidRDefault="005142E4" w:rsidP="005142E4">
      <w:pPr>
        <w:pStyle w:val="LGTdoc1"/>
        <w:numPr>
          <w:ilvl w:val="0"/>
          <w:numId w:val="9"/>
        </w:numPr>
        <w:spacing w:beforeLines="0" w:before="120" w:after="220" w:afterAutospacing="0"/>
        <w:rPr>
          <w:rFonts w:ascii="Arial" w:hAnsi="Arial" w:cs="Arial"/>
          <w:u w:val="single"/>
          <w:lang w:val="en-US"/>
        </w:rPr>
      </w:pPr>
      <w:r w:rsidRPr="005142E4">
        <w:rPr>
          <w:b w:val="0"/>
          <w:sz w:val="22"/>
          <w:szCs w:val="22"/>
          <w:u w:val="single"/>
        </w:rPr>
        <w:t>Narrowband operation:</w:t>
      </w:r>
      <w:r>
        <w:rPr>
          <w:b w:val="0"/>
          <w:sz w:val="22"/>
          <w:szCs w:val="22"/>
        </w:rPr>
        <w:t xml:space="preserve"> In general, a UE is not able to simultaneously monitor MPDCCH and receive PDSCH, so continuous reception of PDSCH is not feasible. One exception to this rule is when PDSCH and MPDCCH happen in the same narrowband, but this would reduce the amount of resources available for PDSCH (e.g. 2 RBs are used for MPDCCH and 4RBs are used for PDSCH).</w:t>
      </w:r>
    </w:p>
    <w:p w14:paraId="34F5B7F8" w14:textId="6C98A774" w:rsidR="005142E4" w:rsidRPr="005142E4" w:rsidRDefault="005142E4" w:rsidP="005142E4">
      <w:pPr>
        <w:pStyle w:val="LGTdoc1"/>
        <w:numPr>
          <w:ilvl w:val="0"/>
          <w:numId w:val="9"/>
        </w:numPr>
        <w:spacing w:beforeLines="0" w:before="120" w:after="220" w:afterAutospacing="0"/>
        <w:rPr>
          <w:rFonts w:ascii="Arial" w:hAnsi="Arial" w:cs="Arial"/>
          <w:u w:val="single"/>
          <w:lang w:val="en-US"/>
        </w:rPr>
      </w:pPr>
      <w:r>
        <w:rPr>
          <w:b w:val="0"/>
          <w:sz w:val="22"/>
          <w:szCs w:val="22"/>
          <w:u w:val="single"/>
        </w:rPr>
        <w:t>Cross-</w:t>
      </w:r>
      <w:proofErr w:type="spellStart"/>
      <w:r>
        <w:rPr>
          <w:b w:val="0"/>
          <w:sz w:val="22"/>
          <w:szCs w:val="22"/>
          <w:u w:val="single"/>
        </w:rPr>
        <w:t>subframe</w:t>
      </w:r>
      <w:proofErr w:type="spellEnd"/>
      <w:r>
        <w:rPr>
          <w:b w:val="0"/>
          <w:sz w:val="22"/>
          <w:szCs w:val="22"/>
          <w:u w:val="single"/>
        </w:rPr>
        <w:t xml:space="preserve"> scheduling:</w:t>
      </w:r>
      <w:r>
        <w:rPr>
          <w:b w:val="0"/>
          <w:sz w:val="22"/>
          <w:szCs w:val="22"/>
        </w:rPr>
        <w:t xml:space="preserve"> In LTE a PDCCH in </w:t>
      </w:r>
      <w:proofErr w:type="spellStart"/>
      <w:r>
        <w:rPr>
          <w:b w:val="0"/>
          <w:sz w:val="22"/>
          <w:szCs w:val="22"/>
        </w:rPr>
        <w:t>subframe</w:t>
      </w:r>
      <w:proofErr w:type="spellEnd"/>
      <w:r>
        <w:rPr>
          <w:b w:val="0"/>
          <w:sz w:val="22"/>
          <w:szCs w:val="22"/>
        </w:rPr>
        <w:t xml:space="preserve"> N schedules a PDSCH in </w:t>
      </w:r>
      <w:proofErr w:type="spellStart"/>
      <w:r>
        <w:rPr>
          <w:b w:val="0"/>
          <w:sz w:val="22"/>
          <w:szCs w:val="22"/>
        </w:rPr>
        <w:t>subframe</w:t>
      </w:r>
      <w:proofErr w:type="spellEnd"/>
      <w:r>
        <w:rPr>
          <w:b w:val="0"/>
          <w:sz w:val="22"/>
          <w:szCs w:val="22"/>
        </w:rPr>
        <w:t xml:space="preserve"> N. Thus, the processing of PDCCH does not incur in any additional timing, and offers some flexibility to adjust the resources and/or TBS. In </w:t>
      </w:r>
      <w:proofErr w:type="spellStart"/>
      <w:r>
        <w:rPr>
          <w:b w:val="0"/>
          <w:sz w:val="22"/>
          <w:szCs w:val="22"/>
        </w:rPr>
        <w:t>eMTC</w:t>
      </w:r>
      <w:proofErr w:type="spellEnd"/>
      <w:r>
        <w:rPr>
          <w:b w:val="0"/>
          <w:sz w:val="22"/>
          <w:szCs w:val="22"/>
        </w:rPr>
        <w:t xml:space="preserve">, however, </w:t>
      </w:r>
      <w:r w:rsidR="00327B39">
        <w:rPr>
          <w:b w:val="0"/>
          <w:sz w:val="22"/>
          <w:szCs w:val="22"/>
        </w:rPr>
        <w:t xml:space="preserve">an MPDCCH in </w:t>
      </w:r>
      <w:proofErr w:type="spellStart"/>
      <w:r w:rsidR="00327B39">
        <w:rPr>
          <w:b w:val="0"/>
          <w:sz w:val="22"/>
          <w:szCs w:val="22"/>
        </w:rPr>
        <w:t>subframe</w:t>
      </w:r>
      <w:proofErr w:type="spellEnd"/>
      <w:r w:rsidR="00327B39">
        <w:rPr>
          <w:b w:val="0"/>
          <w:sz w:val="22"/>
          <w:szCs w:val="22"/>
        </w:rPr>
        <w:t xml:space="preserve"> N schedules a PDSCH in </w:t>
      </w:r>
      <w:proofErr w:type="spellStart"/>
      <w:r w:rsidR="00327B39">
        <w:rPr>
          <w:b w:val="0"/>
          <w:sz w:val="22"/>
          <w:szCs w:val="22"/>
        </w:rPr>
        <w:t>subframe</w:t>
      </w:r>
      <w:proofErr w:type="spellEnd"/>
      <w:r w:rsidR="00327B39">
        <w:rPr>
          <w:b w:val="0"/>
          <w:sz w:val="22"/>
          <w:szCs w:val="22"/>
        </w:rPr>
        <w:t xml:space="preserve"> N+2. This fact, together with the previous narrowband operation constraint, reduces the achievable data rate by a factor of 1/3 (for each </w:t>
      </w:r>
      <w:proofErr w:type="spellStart"/>
      <w:r w:rsidR="00327B39">
        <w:rPr>
          <w:b w:val="0"/>
          <w:sz w:val="22"/>
          <w:szCs w:val="22"/>
        </w:rPr>
        <w:t>subframe</w:t>
      </w:r>
      <w:proofErr w:type="spellEnd"/>
      <w:r w:rsidR="00327B39">
        <w:rPr>
          <w:b w:val="0"/>
          <w:sz w:val="22"/>
          <w:szCs w:val="22"/>
        </w:rPr>
        <w:t xml:space="preserve"> of PDSCH we need one </w:t>
      </w:r>
      <w:proofErr w:type="spellStart"/>
      <w:r w:rsidR="00327B39">
        <w:rPr>
          <w:b w:val="0"/>
          <w:sz w:val="22"/>
          <w:szCs w:val="22"/>
        </w:rPr>
        <w:t>subframe</w:t>
      </w:r>
      <w:proofErr w:type="spellEnd"/>
      <w:r w:rsidR="00327B39">
        <w:rPr>
          <w:b w:val="0"/>
          <w:sz w:val="22"/>
          <w:szCs w:val="22"/>
        </w:rPr>
        <w:t xml:space="preserve"> of MPDCCH + guard </w:t>
      </w:r>
      <w:proofErr w:type="spellStart"/>
      <w:r w:rsidR="00327B39">
        <w:rPr>
          <w:b w:val="0"/>
          <w:sz w:val="22"/>
          <w:szCs w:val="22"/>
        </w:rPr>
        <w:t>subframe</w:t>
      </w:r>
      <w:proofErr w:type="spellEnd"/>
      <w:r w:rsidR="00327B39">
        <w:rPr>
          <w:b w:val="0"/>
          <w:sz w:val="22"/>
          <w:szCs w:val="22"/>
        </w:rPr>
        <w:t xml:space="preserve"> due to cross-</w:t>
      </w:r>
      <w:proofErr w:type="spellStart"/>
      <w:r w:rsidR="00327B39">
        <w:rPr>
          <w:b w:val="0"/>
          <w:sz w:val="22"/>
          <w:szCs w:val="22"/>
        </w:rPr>
        <w:t>subframe</w:t>
      </w:r>
      <w:proofErr w:type="spellEnd"/>
      <w:r w:rsidR="00327B39">
        <w:rPr>
          <w:b w:val="0"/>
          <w:sz w:val="22"/>
          <w:szCs w:val="22"/>
        </w:rPr>
        <w:t xml:space="preserve"> scheduling). A similar reasoning can be applied for coverage enhancement modes, where the repetitions due to MPDCCH can be a large overhead to the PDSCH reception.</w:t>
      </w:r>
      <w:r w:rsidR="00BB5BCC">
        <w:rPr>
          <w:b w:val="0"/>
          <w:sz w:val="22"/>
          <w:szCs w:val="22"/>
        </w:rPr>
        <w:t xml:space="preserve"> In Figure 1 we show this increased overhead due to </w:t>
      </w:r>
      <w:r w:rsidR="004E0984">
        <w:rPr>
          <w:b w:val="0"/>
          <w:sz w:val="22"/>
          <w:szCs w:val="22"/>
        </w:rPr>
        <w:t>cross-</w:t>
      </w:r>
      <w:proofErr w:type="spellStart"/>
      <w:r w:rsidR="004E0984">
        <w:rPr>
          <w:b w:val="0"/>
          <w:sz w:val="22"/>
          <w:szCs w:val="22"/>
        </w:rPr>
        <w:t>subframe</w:t>
      </w:r>
      <w:proofErr w:type="spellEnd"/>
      <w:r w:rsidR="004E0984">
        <w:rPr>
          <w:b w:val="0"/>
          <w:sz w:val="22"/>
          <w:szCs w:val="22"/>
        </w:rPr>
        <w:t xml:space="preserve"> scheduling.</w:t>
      </w:r>
      <w:bookmarkStart w:id="2" w:name="_GoBack"/>
      <w:bookmarkEnd w:id="2"/>
    </w:p>
    <w:p w14:paraId="0C7A7965" w14:textId="5927082D" w:rsidR="005142E4" w:rsidRPr="00BB5BCC" w:rsidRDefault="005142E4" w:rsidP="005142E4">
      <w:pPr>
        <w:pStyle w:val="LGTdoc1"/>
        <w:numPr>
          <w:ilvl w:val="0"/>
          <w:numId w:val="9"/>
        </w:numPr>
        <w:spacing w:beforeLines="0" w:before="120" w:after="220" w:afterAutospacing="0"/>
        <w:rPr>
          <w:rFonts w:ascii="Arial" w:hAnsi="Arial" w:cs="Arial"/>
          <w:u w:val="single"/>
          <w:lang w:val="en-US"/>
        </w:rPr>
      </w:pPr>
      <w:r>
        <w:rPr>
          <w:b w:val="0"/>
          <w:sz w:val="22"/>
          <w:szCs w:val="22"/>
          <w:u w:val="single"/>
          <w:lang w:val="en-US"/>
        </w:rPr>
        <w:t>Use case</w:t>
      </w:r>
      <w:r w:rsidR="00327B39">
        <w:rPr>
          <w:b w:val="0"/>
          <w:sz w:val="22"/>
          <w:szCs w:val="22"/>
          <w:u w:val="single"/>
          <w:lang w:val="en-US"/>
        </w:rPr>
        <w:t xml:space="preserve">: </w:t>
      </w:r>
      <w:r w:rsidR="00327B39">
        <w:rPr>
          <w:b w:val="0"/>
          <w:sz w:val="22"/>
          <w:szCs w:val="22"/>
          <w:lang w:val="en-US"/>
        </w:rPr>
        <w:t xml:space="preserve">The typical use case of broadcasting/multicast in LTE is multimedia reception. Depending on the used codec, the multimedia content may have variable bitrate, and thus it is beneficial to have the flexibility at the physical layer to change the TBS/scheduling accordingly. For </w:t>
      </w:r>
      <w:proofErr w:type="spellStart"/>
      <w:r w:rsidR="00327B39">
        <w:rPr>
          <w:b w:val="0"/>
          <w:sz w:val="22"/>
          <w:szCs w:val="22"/>
          <w:lang w:val="en-US"/>
        </w:rPr>
        <w:t>eMTC</w:t>
      </w:r>
      <w:proofErr w:type="spellEnd"/>
      <w:r w:rsidR="00327B39">
        <w:rPr>
          <w:b w:val="0"/>
          <w:sz w:val="22"/>
          <w:szCs w:val="22"/>
          <w:lang w:val="en-US"/>
        </w:rPr>
        <w:t xml:space="preserve">, the typical use case is expected to be the delivery of a software update, so the network can calculate beforehand the amount of resources, TBS, repetitions, etc. needed for its delivery. </w:t>
      </w:r>
    </w:p>
    <w:p w14:paraId="608893ED" w14:textId="729FC203" w:rsidR="00BB5BCC" w:rsidRDefault="00BB5BCC" w:rsidP="00BB5BCC">
      <w:pPr>
        <w:pStyle w:val="LGTdoc1"/>
        <w:keepNext/>
        <w:spacing w:beforeLines="0" w:before="120" w:after="220" w:afterAutospacing="0"/>
        <w:jc w:val="center"/>
        <w:rPr>
          <w:rFonts w:ascii="Arial" w:hAnsi="Arial" w:cs="Arial"/>
          <w:lang w:val="en-US"/>
        </w:rPr>
      </w:pPr>
      <w:r>
        <w:rPr>
          <w:rFonts w:ascii="Arial" w:hAnsi="Arial" w:cs="Arial"/>
          <w:lang w:val="en-US"/>
        </w:rPr>
        <w:object w:dxaOrig="11110" w:dyaOrig="4405" w14:anchorId="6505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188.05pt" o:ole="">
            <v:imagedata r:id="rId14" o:title=""/>
          </v:shape>
          <o:OLEObject Type="Embed" ProgID="Visio.Drawing.11" ShapeID="_x0000_i1025" DrawAspect="Content" ObjectID="_1532452093" r:id="rId15"/>
        </w:object>
      </w:r>
      <w:r w:rsidRPr="00BB5BCC">
        <w:rPr>
          <w:sz w:val="16"/>
        </w:rPr>
        <w:t xml:space="preserve">Figure </w:t>
      </w:r>
      <w:r w:rsidRPr="00BB5BCC">
        <w:rPr>
          <w:sz w:val="16"/>
        </w:rPr>
        <w:fldChar w:fldCharType="begin"/>
      </w:r>
      <w:r w:rsidRPr="00BB5BCC">
        <w:rPr>
          <w:sz w:val="16"/>
        </w:rPr>
        <w:instrText xml:space="preserve"> SEQ Figure \* ARABIC </w:instrText>
      </w:r>
      <w:r w:rsidRPr="00BB5BCC">
        <w:rPr>
          <w:sz w:val="16"/>
        </w:rPr>
        <w:fldChar w:fldCharType="separate"/>
      </w:r>
      <w:r w:rsidR="006F05CF">
        <w:rPr>
          <w:noProof/>
          <w:sz w:val="16"/>
        </w:rPr>
        <w:t>1</w:t>
      </w:r>
      <w:r w:rsidRPr="00BB5BCC">
        <w:rPr>
          <w:sz w:val="16"/>
        </w:rPr>
        <w:fldChar w:fldCharType="end"/>
      </w:r>
      <w:r w:rsidRPr="00BB5BCC">
        <w:rPr>
          <w:sz w:val="16"/>
        </w:rPr>
        <w:t xml:space="preserve"> Comparison of LTE SC-PTM, </w:t>
      </w:r>
      <w:proofErr w:type="spellStart"/>
      <w:r w:rsidRPr="00BB5BCC">
        <w:rPr>
          <w:sz w:val="16"/>
        </w:rPr>
        <w:t>eMTC</w:t>
      </w:r>
      <w:proofErr w:type="spellEnd"/>
      <w:r w:rsidRPr="00BB5BCC">
        <w:rPr>
          <w:sz w:val="16"/>
        </w:rPr>
        <w:t xml:space="preserve"> with MPDCCH, and control-less operation.</w:t>
      </w:r>
    </w:p>
    <w:p w14:paraId="47716A3C" w14:textId="77777777" w:rsidR="00BB5BCC" w:rsidRPr="005142E4" w:rsidRDefault="00BB5BCC" w:rsidP="00BB5BCC">
      <w:pPr>
        <w:pStyle w:val="LGTdoc1"/>
        <w:spacing w:beforeLines="0" w:before="120" w:after="220" w:afterAutospacing="0"/>
        <w:rPr>
          <w:rFonts w:ascii="Arial" w:hAnsi="Arial" w:cs="Arial"/>
          <w:u w:val="single"/>
          <w:lang w:val="en-US"/>
        </w:rPr>
      </w:pPr>
    </w:p>
    <w:p w14:paraId="47D1E623" w14:textId="6871A2AA" w:rsidR="005142E4" w:rsidRDefault="005142E4" w:rsidP="005142E4">
      <w:pPr>
        <w:pStyle w:val="LGTdoc1"/>
        <w:spacing w:beforeLines="0" w:before="120" w:after="220" w:afterAutospacing="0"/>
        <w:rPr>
          <w:b w:val="0"/>
          <w:sz w:val="22"/>
          <w:szCs w:val="22"/>
        </w:rPr>
      </w:pPr>
      <w:r>
        <w:rPr>
          <w:b w:val="0"/>
          <w:sz w:val="22"/>
          <w:szCs w:val="22"/>
        </w:rPr>
        <w:t xml:space="preserve">In view of these issues, we propose to introduce control-less SC-PTM for </w:t>
      </w:r>
      <w:proofErr w:type="spellStart"/>
      <w:r>
        <w:rPr>
          <w:b w:val="0"/>
          <w:sz w:val="22"/>
          <w:szCs w:val="22"/>
        </w:rPr>
        <w:t>eMTC</w:t>
      </w:r>
      <w:proofErr w:type="spellEnd"/>
      <w:r w:rsidR="00327B39">
        <w:rPr>
          <w:b w:val="0"/>
          <w:sz w:val="22"/>
          <w:szCs w:val="22"/>
        </w:rPr>
        <w:t xml:space="preserve">. The necessary parameters (resource allocation, </w:t>
      </w:r>
      <w:r w:rsidR="00BB5BCC">
        <w:rPr>
          <w:b w:val="0"/>
          <w:sz w:val="22"/>
          <w:szCs w:val="22"/>
        </w:rPr>
        <w:t>number of repetitions, TBS) can be obtained via SI.</w:t>
      </w:r>
    </w:p>
    <w:p w14:paraId="6A7A535C" w14:textId="4033C7E6" w:rsidR="00BB5BCC" w:rsidRDefault="00BB5BCC" w:rsidP="005142E4">
      <w:pPr>
        <w:pStyle w:val="LGTdoc1"/>
        <w:spacing w:beforeLines="0" w:before="120" w:after="220" w:afterAutospacing="0"/>
        <w:rPr>
          <w:b w:val="0"/>
          <w:sz w:val="22"/>
          <w:szCs w:val="22"/>
        </w:rPr>
      </w:pPr>
      <w:r>
        <w:rPr>
          <w:b w:val="0"/>
          <w:sz w:val="22"/>
          <w:szCs w:val="22"/>
        </w:rPr>
        <w:t>In case other applications are considered (e.g. audio delivery for wearables), MPDCCH scheduling can be additionally introduced.</w:t>
      </w:r>
    </w:p>
    <w:p w14:paraId="12DDDE69" w14:textId="10DAAB18" w:rsidR="005142E4" w:rsidRDefault="005142E4" w:rsidP="005142E4">
      <w:pPr>
        <w:pStyle w:val="LGTdoc1"/>
        <w:spacing w:beforeLines="0" w:before="120" w:after="220" w:afterAutospacing="0"/>
        <w:rPr>
          <w:sz w:val="22"/>
          <w:szCs w:val="22"/>
        </w:rPr>
      </w:pPr>
      <w:r w:rsidRPr="005142E4">
        <w:rPr>
          <w:sz w:val="22"/>
          <w:szCs w:val="22"/>
          <w:u w:val="single"/>
        </w:rPr>
        <w:t xml:space="preserve">Proposal </w:t>
      </w:r>
      <w:r w:rsidR="00BB5BCC">
        <w:rPr>
          <w:sz w:val="22"/>
          <w:szCs w:val="22"/>
          <w:u w:val="single"/>
        </w:rPr>
        <w:t>3</w:t>
      </w:r>
      <w:r w:rsidRPr="005142E4">
        <w:rPr>
          <w:sz w:val="22"/>
          <w:szCs w:val="22"/>
          <w:u w:val="single"/>
        </w:rPr>
        <w:t>:</w:t>
      </w:r>
      <w:r>
        <w:rPr>
          <w:sz w:val="22"/>
          <w:szCs w:val="22"/>
        </w:rPr>
        <w:t xml:space="preserve"> Introduce control-less transmission </w:t>
      </w:r>
      <w:r w:rsidR="00BB5BCC">
        <w:rPr>
          <w:sz w:val="22"/>
          <w:szCs w:val="22"/>
        </w:rPr>
        <w:t>for</w:t>
      </w:r>
      <w:r>
        <w:rPr>
          <w:sz w:val="22"/>
          <w:szCs w:val="22"/>
        </w:rPr>
        <w:t xml:space="preserve"> SC-PTM</w:t>
      </w:r>
      <w:r w:rsidR="00BB5BCC">
        <w:rPr>
          <w:sz w:val="22"/>
          <w:szCs w:val="22"/>
        </w:rPr>
        <w:t>.</w:t>
      </w:r>
    </w:p>
    <w:p w14:paraId="69342775" w14:textId="77777777" w:rsidR="00BB5BCC" w:rsidRDefault="00BB5BCC" w:rsidP="005142E4">
      <w:pPr>
        <w:pStyle w:val="LGTdoc1"/>
        <w:spacing w:beforeLines="0" w:before="120" w:after="220" w:afterAutospacing="0"/>
        <w:rPr>
          <w:rFonts w:ascii="Arial" w:hAnsi="Arial" w:cs="Arial"/>
          <w:lang w:val="en-US"/>
        </w:rPr>
      </w:pPr>
    </w:p>
    <w:p w14:paraId="25BF1ED2" w14:textId="51E85328" w:rsidR="00BB5BCC" w:rsidRDefault="00BB5BCC" w:rsidP="00BB5BC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Handling of multiple coverage levels</w:t>
      </w:r>
    </w:p>
    <w:p w14:paraId="1BA1B590" w14:textId="0AF71466" w:rsidR="00BB5BCC" w:rsidRDefault="00BB5BCC" w:rsidP="005142E4">
      <w:pPr>
        <w:pStyle w:val="LGTdoc1"/>
        <w:spacing w:beforeLines="0" w:before="120" w:after="220" w:afterAutospacing="0"/>
        <w:rPr>
          <w:b w:val="0"/>
          <w:sz w:val="22"/>
          <w:szCs w:val="22"/>
        </w:rPr>
      </w:pPr>
      <w:proofErr w:type="spellStart"/>
      <w:proofErr w:type="gramStart"/>
      <w:r>
        <w:rPr>
          <w:b w:val="0"/>
          <w:sz w:val="22"/>
          <w:szCs w:val="22"/>
        </w:rPr>
        <w:t>eMTC</w:t>
      </w:r>
      <w:proofErr w:type="spellEnd"/>
      <w:proofErr w:type="gramEnd"/>
      <w:r>
        <w:rPr>
          <w:b w:val="0"/>
          <w:sz w:val="22"/>
          <w:szCs w:val="22"/>
        </w:rPr>
        <w:t xml:space="preserve"> devices can be very heterogeneous, and so can be their coverage level and data rate needs. For example, a metering device may require to transmit a couple of bytes per day and may be delay tolerant, while a surveillance camera may require a higher bandwidth and tight delay constraints. Similarly, there can be multiple devices (or types of devices) in different coverage levels that need to receive the same SC-PTM content. One straightforward way to enable this is to determine the number of repetitions for SC-PTM based on the worst case UE. UEs that are interested in the same content may also monitor that SC-PTM, but may incur in unnecessary energy consumption. For example, consider a UE that is able to receive PDSCH with 1 repetition, but the worst case UE requires 128 repetitions to decode. If the broadcast content requires 100 TB to be delivered, the good UE would be awake (i.e., out of deep sleep) for 12.673s to receive the whole content (assuming the TB are delivered in sequential order, without interleaving). If the SC-PTM transmission was targeting this particular UE, it would only need 0.1s to receive the same information.</w:t>
      </w:r>
    </w:p>
    <w:p w14:paraId="41E5AD37" w14:textId="3F17642F" w:rsidR="00BB5BCC" w:rsidRDefault="00BB5BCC" w:rsidP="005142E4">
      <w:pPr>
        <w:pStyle w:val="LGTdoc1"/>
        <w:spacing w:beforeLines="0" w:before="120" w:after="220" w:afterAutospacing="0"/>
        <w:rPr>
          <w:sz w:val="22"/>
          <w:szCs w:val="22"/>
        </w:rPr>
      </w:pPr>
      <w:r w:rsidRPr="00BB5BCC">
        <w:rPr>
          <w:sz w:val="22"/>
          <w:szCs w:val="22"/>
          <w:u w:val="single"/>
        </w:rPr>
        <w:t>Observation 1:</w:t>
      </w:r>
      <w:r>
        <w:rPr>
          <w:sz w:val="22"/>
          <w:szCs w:val="22"/>
        </w:rPr>
        <w:t xml:space="preserve"> If the number of repetitions for SC-PTM targets the worst case UE, UEs in good coverage may use more energy than necessary to receive SC-PTM.</w:t>
      </w:r>
    </w:p>
    <w:p w14:paraId="2E86525F" w14:textId="15D28CF8" w:rsidR="006F05CF" w:rsidRDefault="00BB5BCC" w:rsidP="006F05CF">
      <w:pPr>
        <w:pStyle w:val="LGTdoc1"/>
        <w:spacing w:beforeLines="0" w:before="120" w:after="220" w:afterAutospacing="0"/>
        <w:rPr>
          <w:b w:val="0"/>
          <w:sz w:val="22"/>
          <w:szCs w:val="22"/>
        </w:rPr>
      </w:pPr>
      <w:r w:rsidRPr="00BB5BCC">
        <w:rPr>
          <w:b w:val="0"/>
          <w:sz w:val="22"/>
          <w:szCs w:val="22"/>
        </w:rPr>
        <w:t>One</w:t>
      </w:r>
      <w:r>
        <w:rPr>
          <w:b w:val="0"/>
          <w:sz w:val="22"/>
          <w:szCs w:val="22"/>
        </w:rPr>
        <w:t xml:space="preserve"> straightforward solution to this issue is to transmit the same content in multiple </w:t>
      </w:r>
      <w:proofErr w:type="spellStart"/>
      <w:r>
        <w:rPr>
          <w:b w:val="0"/>
          <w:sz w:val="22"/>
          <w:szCs w:val="22"/>
        </w:rPr>
        <w:t>narrowbands</w:t>
      </w:r>
      <w:proofErr w:type="spellEnd"/>
      <w:r>
        <w:rPr>
          <w:b w:val="0"/>
          <w:sz w:val="22"/>
          <w:szCs w:val="22"/>
        </w:rPr>
        <w:t xml:space="preserve"> with different repetition levels, but this would increase the network utilization. An intermediate solution is to combine different repetition levels in such a way that a UE is able to decode </w:t>
      </w:r>
      <w:r w:rsidR="006F05CF">
        <w:rPr>
          <w:b w:val="0"/>
          <w:sz w:val="22"/>
          <w:szCs w:val="22"/>
        </w:rPr>
        <w:t xml:space="preserve">them by retuning among </w:t>
      </w:r>
      <w:proofErr w:type="spellStart"/>
      <w:r w:rsidR="006F05CF">
        <w:rPr>
          <w:b w:val="0"/>
          <w:sz w:val="22"/>
          <w:szCs w:val="22"/>
        </w:rPr>
        <w:t>narrowbands</w:t>
      </w:r>
      <w:proofErr w:type="spellEnd"/>
      <w:r w:rsidR="006F05CF">
        <w:rPr>
          <w:b w:val="0"/>
          <w:sz w:val="22"/>
          <w:szCs w:val="22"/>
        </w:rPr>
        <w:t>. For example, consider the case of UEs with repetition level {1</w:t>
      </w:r>
      <w:proofErr w:type="gramStart"/>
      <w:r w:rsidR="006F05CF">
        <w:rPr>
          <w:b w:val="0"/>
          <w:sz w:val="22"/>
          <w:szCs w:val="22"/>
        </w:rPr>
        <w:t>,2,4,8</w:t>
      </w:r>
      <w:proofErr w:type="gramEnd"/>
      <w:r w:rsidR="006F05CF">
        <w:rPr>
          <w:b w:val="0"/>
          <w:sz w:val="22"/>
          <w:szCs w:val="22"/>
        </w:rPr>
        <w:t xml:space="preserve">}, and that the software update is delivered in a carousel-like manner (i.e., for a period of time the content is broadcast continuously). A UE in good coverage can tune to a higher coverage level, early decode, and move to a different narrowband to continue the reception. In Figure 2 we present an example of this type of structure. Consider all UEs start decoding in </w:t>
      </w:r>
      <w:proofErr w:type="spellStart"/>
      <w:r w:rsidR="006F05CF">
        <w:rPr>
          <w:b w:val="0"/>
          <w:sz w:val="22"/>
          <w:szCs w:val="22"/>
        </w:rPr>
        <w:t>subframe</w:t>
      </w:r>
      <w:proofErr w:type="spellEnd"/>
      <w:r w:rsidR="006F05CF">
        <w:rPr>
          <w:b w:val="0"/>
          <w:sz w:val="22"/>
          <w:szCs w:val="22"/>
        </w:rPr>
        <w:t xml:space="preserve"> 0, then the retuning sequence would be as follows:</w:t>
      </w:r>
    </w:p>
    <w:p w14:paraId="3D7D9539" w14:textId="547B3547" w:rsidR="006F05CF" w:rsidRDefault="006F05CF" w:rsidP="006F05CF">
      <w:pPr>
        <w:pStyle w:val="LGTdoc1"/>
        <w:numPr>
          <w:ilvl w:val="0"/>
          <w:numId w:val="9"/>
        </w:numPr>
        <w:spacing w:beforeLines="0" w:before="120" w:after="220" w:afterAutospacing="0"/>
        <w:rPr>
          <w:b w:val="0"/>
          <w:sz w:val="22"/>
          <w:szCs w:val="22"/>
        </w:rPr>
      </w:pPr>
      <w:r>
        <w:rPr>
          <w:b w:val="0"/>
          <w:sz w:val="22"/>
          <w:szCs w:val="22"/>
        </w:rPr>
        <w:t>For UEs that need 8 repetitions, it stays in NB1 for the whole period</w:t>
      </w:r>
    </w:p>
    <w:p w14:paraId="24863B69" w14:textId="2CBB60DE" w:rsidR="006F05CF" w:rsidRDefault="006F05CF" w:rsidP="006F05CF">
      <w:pPr>
        <w:pStyle w:val="LGTdoc1"/>
        <w:numPr>
          <w:ilvl w:val="0"/>
          <w:numId w:val="9"/>
        </w:numPr>
        <w:spacing w:beforeLines="0" w:before="120" w:after="220" w:afterAutospacing="0"/>
        <w:rPr>
          <w:b w:val="0"/>
          <w:sz w:val="22"/>
          <w:szCs w:val="22"/>
        </w:rPr>
      </w:pPr>
      <w:r>
        <w:rPr>
          <w:b w:val="0"/>
          <w:sz w:val="22"/>
          <w:szCs w:val="22"/>
        </w:rPr>
        <w:t>For UEs that need 4 repetitions, it hops as follows:</w:t>
      </w:r>
    </w:p>
    <w:p w14:paraId="4538BD1A" w14:textId="67336003" w:rsidR="006F05CF" w:rsidRDefault="006F05CF" w:rsidP="006F05CF">
      <w:pPr>
        <w:pStyle w:val="LGTdoc1"/>
        <w:numPr>
          <w:ilvl w:val="1"/>
          <w:numId w:val="9"/>
        </w:numPr>
        <w:spacing w:beforeLines="0" w:before="120" w:after="220" w:afterAutospacing="0"/>
        <w:rPr>
          <w:b w:val="0"/>
          <w:sz w:val="22"/>
          <w:szCs w:val="22"/>
        </w:rPr>
      </w:pPr>
      <w:r>
        <w:rPr>
          <w:b w:val="0"/>
          <w:sz w:val="22"/>
          <w:szCs w:val="22"/>
        </w:rPr>
        <w:t>NB1 in SF 0-3.</w:t>
      </w:r>
    </w:p>
    <w:p w14:paraId="2B7FF6FF" w14:textId="01B687C5" w:rsidR="006F05CF" w:rsidRDefault="006F05CF" w:rsidP="006F05CF">
      <w:pPr>
        <w:pStyle w:val="LGTdoc1"/>
        <w:numPr>
          <w:ilvl w:val="1"/>
          <w:numId w:val="9"/>
        </w:numPr>
        <w:spacing w:beforeLines="0" w:before="120" w:after="220" w:afterAutospacing="0"/>
        <w:rPr>
          <w:b w:val="0"/>
          <w:sz w:val="22"/>
          <w:szCs w:val="22"/>
        </w:rPr>
      </w:pPr>
      <w:r>
        <w:rPr>
          <w:b w:val="0"/>
          <w:sz w:val="22"/>
          <w:szCs w:val="22"/>
        </w:rPr>
        <w:t>NB2 in SF 4-7</w:t>
      </w:r>
    </w:p>
    <w:p w14:paraId="38F748F4" w14:textId="1EDF81B1" w:rsidR="006F05CF" w:rsidRDefault="006F05CF" w:rsidP="006F05CF">
      <w:pPr>
        <w:pStyle w:val="LGTdoc1"/>
        <w:numPr>
          <w:ilvl w:val="1"/>
          <w:numId w:val="9"/>
        </w:numPr>
        <w:spacing w:beforeLines="0" w:before="120" w:after="220" w:afterAutospacing="0"/>
        <w:rPr>
          <w:b w:val="0"/>
          <w:sz w:val="22"/>
          <w:szCs w:val="22"/>
        </w:rPr>
      </w:pPr>
      <w:r>
        <w:rPr>
          <w:b w:val="0"/>
          <w:sz w:val="22"/>
          <w:szCs w:val="22"/>
        </w:rPr>
        <w:t>NB1 in SF 8-11</w:t>
      </w:r>
    </w:p>
    <w:p w14:paraId="5FCB8CA5" w14:textId="4ABED4C6" w:rsidR="006F05CF" w:rsidRDefault="006F05CF" w:rsidP="006F05CF">
      <w:pPr>
        <w:pStyle w:val="LGTdoc1"/>
        <w:numPr>
          <w:ilvl w:val="1"/>
          <w:numId w:val="9"/>
        </w:numPr>
        <w:spacing w:beforeLines="0" w:before="120" w:after="220" w:afterAutospacing="0"/>
        <w:rPr>
          <w:b w:val="0"/>
          <w:sz w:val="22"/>
          <w:szCs w:val="22"/>
        </w:rPr>
      </w:pPr>
      <w:r>
        <w:rPr>
          <w:b w:val="0"/>
          <w:sz w:val="22"/>
          <w:szCs w:val="22"/>
        </w:rPr>
        <w:t>NB2 in SF 12-15</w:t>
      </w:r>
    </w:p>
    <w:p w14:paraId="7F7F1E6A" w14:textId="61B5C7CC" w:rsidR="006F05CF" w:rsidRDefault="006F05CF" w:rsidP="006F05CF">
      <w:pPr>
        <w:pStyle w:val="LGTdoc1"/>
        <w:numPr>
          <w:ilvl w:val="0"/>
          <w:numId w:val="9"/>
        </w:numPr>
        <w:spacing w:beforeLines="0" w:before="120" w:after="220" w:afterAutospacing="0"/>
        <w:rPr>
          <w:b w:val="0"/>
          <w:sz w:val="22"/>
          <w:szCs w:val="22"/>
        </w:rPr>
      </w:pPr>
      <w:r>
        <w:rPr>
          <w:b w:val="0"/>
          <w:sz w:val="22"/>
          <w:szCs w:val="22"/>
        </w:rPr>
        <w:t>For UEs that need 2 repetitions, it hops as follows:</w:t>
      </w:r>
    </w:p>
    <w:p w14:paraId="07E11A2C" w14:textId="5565816F" w:rsidR="006F05CF" w:rsidRDefault="006F05CF" w:rsidP="006F05CF">
      <w:pPr>
        <w:pStyle w:val="LGTdoc1"/>
        <w:numPr>
          <w:ilvl w:val="1"/>
          <w:numId w:val="9"/>
        </w:numPr>
        <w:spacing w:beforeLines="0" w:before="120" w:after="220" w:afterAutospacing="0"/>
        <w:rPr>
          <w:b w:val="0"/>
          <w:sz w:val="22"/>
          <w:szCs w:val="22"/>
        </w:rPr>
      </w:pPr>
      <w:r>
        <w:rPr>
          <w:b w:val="0"/>
          <w:sz w:val="22"/>
          <w:szCs w:val="22"/>
        </w:rPr>
        <w:t>NB1 in SF 0-1</w:t>
      </w:r>
    </w:p>
    <w:p w14:paraId="15BED7B2" w14:textId="0AC3597A" w:rsidR="006F05CF" w:rsidRDefault="006F05CF" w:rsidP="006F05CF">
      <w:pPr>
        <w:pStyle w:val="LGTdoc1"/>
        <w:numPr>
          <w:ilvl w:val="1"/>
          <w:numId w:val="9"/>
        </w:numPr>
        <w:spacing w:beforeLines="0" w:before="120" w:after="220" w:afterAutospacing="0"/>
        <w:rPr>
          <w:b w:val="0"/>
          <w:sz w:val="22"/>
          <w:szCs w:val="22"/>
        </w:rPr>
      </w:pPr>
      <w:r>
        <w:rPr>
          <w:b w:val="0"/>
          <w:sz w:val="22"/>
          <w:szCs w:val="22"/>
        </w:rPr>
        <w:t>NB2 in SF 2-5</w:t>
      </w:r>
    </w:p>
    <w:p w14:paraId="32235AE3" w14:textId="236820E7" w:rsidR="006F05CF" w:rsidRDefault="006F05CF" w:rsidP="006F05CF">
      <w:pPr>
        <w:pStyle w:val="LGTdoc1"/>
        <w:numPr>
          <w:ilvl w:val="1"/>
          <w:numId w:val="9"/>
        </w:numPr>
        <w:spacing w:beforeLines="0" w:before="120" w:after="220" w:afterAutospacing="0"/>
        <w:rPr>
          <w:b w:val="0"/>
          <w:sz w:val="22"/>
          <w:szCs w:val="22"/>
        </w:rPr>
      </w:pPr>
      <w:r>
        <w:rPr>
          <w:b w:val="0"/>
          <w:sz w:val="22"/>
          <w:szCs w:val="22"/>
        </w:rPr>
        <w:t>NB3 in SF 6-7</w:t>
      </w:r>
    </w:p>
    <w:p w14:paraId="034C5BBD" w14:textId="35C69682" w:rsidR="006F05CF" w:rsidRDefault="006F05CF" w:rsidP="006F05CF">
      <w:pPr>
        <w:pStyle w:val="LGTdoc1"/>
        <w:numPr>
          <w:ilvl w:val="0"/>
          <w:numId w:val="9"/>
        </w:numPr>
        <w:spacing w:beforeLines="0" w:before="120" w:after="220" w:afterAutospacing="0"/>
        <w:rPr>
          <w:b w:val="0"/>
          <w:sz w:val="22"/>
          <w:szCs w:val="22"/>
        </w:rPr>
      </w:pPr>
      <w:r>
        <w:rPr>
          <w:b w:val="0"/>
          <w:sz w:val="22"/>
          <w:szCs w:val="22"/>
        </w:rPr>
        <w:t>For UEs that needs 1 repetition, it hops as follows:</w:t>
      </w:r>
    </w:p>
    <w:p w14:paraId="70D1A57D" w14:textId="0340F767" w:rsidR="006F05CF" w:rsidRDefault="006F05CF" w:rsidP="006F05CF">
      <w:pPr>
        <w:pStyle w:val="LGTdoc1"/>
        <w:numPr>
          <w:ilvl w:val="1"/>
          <w:numId w:val="9"/>
        </w:numPr>
        <w:spacing w:beforeLines="0" w:before="120" w:after="220" w:afterAutospacing="0"/>
        <w:rPr>
          <w:b w:val="0"/>
          <w:sz w:val="22"/>
          <w:szCs w:val="22"/>
        </w:rPr>
      </w:pPr>
      <w:r>
        <w:rPr>
          <w:b w:val="0"/>
          <w:sz w:val="22"/>
          <w:szCs w:val="22"/>
        </w:rPr>
        <w:t>NB1 in SF0</w:t>
      </w:r>
    </w:p>
    <w:p w14:paraId="1E88DADC" w14:textId="6DC23805" w:rsidR="006F05CF" w:rsidRDefault="006F05CF" w:rsidP="006F05CF">
      <w:pPr>
        <w:pStyle w:val="LGTdoc1"/>
        <w:numPr>
          <w:ilvl w:val="1"/>
          <w:numId w:val="9"/>
        </w:numPr>
        <w:spacing w:beforeLines="0" w:before="120" w:after="220" w:afterAutospacing="0"/>
        <w:rPr>
          <w:b w:val="0"/>
          <w:sz w:val="22"/>
          <w:szCs w:val="22"/>
        </w:rPr>
      </w:pPr>
      <w:r>
        <w:rPr>
          <w:b w:val="0"/>
          <w:sz w:val="22"/>
          <w:szCs w:val="22"/>
        </w:rPr>
        <w:t>NB2 in SF 1-2</w:t>
      </w:r>
    </w:p>
    <w:p w14:paraId="4EEC0C08" w14:textId="50965E41" w:rsidR="006F05CF" w:rsidRDefault="006F05CF" w:rsidP="006F05CF">
      <w:pPr>
        <w:pStyle w:val="LGTdoc1"/>
        <w:numPr>
          <w:ilvl w:val="1"/>
          <w:numId w:val="9"/>
        </w:numPr>
        <w:spacing w:beforeLines="0" w:before="120" w:after="220" w:afterAutospacing="0"/>
        <w:rPr>
          <w:b w:val="0"/>
          <w:sz w:val="22"/>
          <w:szCs w:val="22"/>
        </w:rPr>
      </w:pPr>
      <w:r>
        <w:rPr>
          <w:b w:val="0"/>
          <w:sz w:val="22"/>
          <w:szCs w:val="22"/>
        </w:rPr>
        <w:t>NB3 in SF 3</w:t>
      </w:r>
    </w:p>
    <w:p w14:paraId="73F70013" w14:textId="77777777" w:rsidR="00BB5BCC" w:rsidRDefault="00BB5BCC" w:rsidP="005142E4">
      <w:pPr>
        <w:pStyle w:val="LGTdoc1"/>
        <w:spacing w:beforeLines="0" w:before="120" w:after="220" w:afterAutospacing="0"/>
        <w:rPr>
          <w:b w:val="0"/>
          <w:sz w:val="22"/>
          <w:szCs w:val="22"/>
        </w:rPr>
      </w:pPr>
    </w:p>
    <w:bookmarkStart w:id="3" w:name="_MON_1532324105"/>
    <w:bookmarkEnd w:id="3"/>
    <w:p w14:paraId="5EAEC074" w14:textId="41B5EB74" w:rsidR="006F05CF" w:rsidRDefault="006F05CF" w:rsidP="006F05CF">
      <w:pPr>
        <w:pStyle w:val="LGTdoc1"/>
        <w:keepNext/>
        <w:spacing w:beforeLines="0" w:before="120" w:after="220" w:afterAutospacing="0"/>
      </w:pPr>
      <w:r>
        <w:object w:dxaOrig="10898" w:dyaOrig="1183" w14:anchorId="6803363C">
          <v:shape id="_x0000_i1026" type="#_x0000_t75" style="width:468pt;height:50.5pt" o:ole="">
            <v:imagedata r:id="rId16" o:title=""/>
          </v:shape>
          <o:OLEObject Type="Embed" ProgID="Excel.Sheet.8" ShapeID="_x0000_i1026" DrawAspect="Content" ObjectID="_1532452094" r:id="rId17"/>
        </w:object>
      </w:r>
    </w:p>
    <w:p w14:paraId="65CAD3EF" w14:textId="2C014AA5" w:rsidR="00BB5BCC" w:rsidRDefault="006F05CF" w:rsidP="006F05C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Structure that allows for different coverage levels transmitted in an efficient way</w:t>
      </w:r>
    </w:p>
    <w:p w14:paraId="3A40E526" w14:textId="4A8724D7" w:rsidR="006F05CF" w:rsidRDefault="006F05CF" w:rsidP="005142E4">
      <w:pPr>
        <w:pStyle w:val="LGTdoc1"/>
        <w:spacing w:beforeLines="0" w:before="120" w:after="220" w:afterAutospacing="0"/>
        <w:rPr>
          <w:sz w:val="22"/>
          <w:szCs w:val="22"/>
          <w:u w:val="single"/>
        </w:rPr>
      </w:pPr>
      <w:r w:rsidRPr="006F05CF">
        <w:rPr>
          <w:b w:val="0"/>
          <w:sz w:val="22"/>
          <w:szCs w:val="22"/>
        </w:rPr>
        <w:t>With this scheme</w:t>
      </w:r>
      <w:r>
        <w:rPr>
          <w:b w:val="0"/>
          <w:sz w:val="22"/>
          <w:szCs w:val="22"/>
        </w:rPr>
        <w:t xml:space="preserve"> it is feasible to reduce the amount of used resources while enabling early decoding for good coverage UEs.</w:t>
      </w:r>
    </w:p>
    <w:p w14:paraId="13CC0C60" w14:textId="23539103" w:rsidR="00BB5BCC" w:rsidRDefault="006F05CF" w:rsidP="005142E4">
      <w:pPr>
        <w:pStyle w:val="LGTdoc1"/>
        <w:spacing w:beforeLines="0" w:before="120" w:after="220" w:afterAutospacing="0"/>
        <w:rPr>
          <w:sz w:val="22"/>
          <w:szCs w:val="22"/>
        </w:rPr>
      </w:pPr>
      <w:r w:rsidRPr="006F05CF">
        <w:rPr>
          <w:sz w:val="22"/>
          <w:szCs w:val="22"/>
          <w:u w:val="single"/>
        </w:rPr>
        <w:t>Proposal 4</w:t>
      </w:r>
      <w:r>
        <w:rPr>
          <w:sz w:val="22"/>
          <w:szCs w:val="22"/>
          <w:u w:val="single"/>
        </w:rPr>
        <w:t>:</w:t>
      </w:r>
      <w:r>
        <w:rPr>
          <w:b w:val="0"/>
          <w:sz w:val="22"/>
          <w:szCs w:val="22"/>
          <w:u w:val="single"/>
        </w:rPr>
        <w:t xml:space="preserve"> </w:t>
      </w:r>
      <w:r>
        <w:rPr>
          <w:sz w:val="22"/>
          <w:szCs w:val="22"/>
        </w:rPr>
        <w:t>Consider schemes like the one in Figure 2 to convey information efficiently to different coverage levels</w:t>
      </w:r>
    </w:p>
    <w:p w14:paraId="0F805D47" w14:textId="77777777" w:rsidR="006F05CF" w:rsidRPr="006F05CF" w:rsidRDefault="006F05CF" w:rsidP="005142E4">
      <w:pPr>
        <w:pStyle w:val="LGTdoc1"/>
        <w:spacing w:beforeLines="0" w:before="120" w:after="220" w:afterAutospacing="0"/>
        <w:rPr>
          <w:sz w:val="22"/>
          <w:szCs w:val="22"/>
        </w:rPr>
      </w:pP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4C6B722D" w14:textId="77777777" w:rsidR="006F05CF" w:rsidRPr="00C34876" w:rsidRDefault="006F05CF" w:rsidP="006F05CF">
      <w:pPr>
        <w:pStyle w:val="LGTdoc1"/>
        <w:spacing w:beforeLines="0" w:before="120" w:after="220" w:afterAutospacing="0"/>
        <w:rPr>
          <w:sz w:val="22"/>
          <w:szCs w:val="22"/>
        </w:rPr>
      </w:pPr>
      <w:r w:rsidRPr="00C34876">
        <w:rPr>
          <w:sz w:val="22"/>
          <w:szCs w:val="22"/>
          <w:u w:val="single"/>
        </w:rPr>
        <w:t>Proposal 1:</w:t>
      </w:r>
      <w:r>
        <w:rPr>
          <w:sz w:val="22"/>
          <w:szCs w:val="22"/>
        </w:rPr>
        <w:t xml:space="preserve"> Enable idle mode reception of SC-PTM</w:t>
      </w:r>
    </w:p>
    <w:p w14:paraId="3C375260" w14:textId="77777777" w:rsidR="006F05CF" w:rsidRPr="00C34876" w:rsidRDefault="006F05CF" w:rsidP="006F05CF">
      <w:pPr>
        <w:pStyle w:val="LGTdoc1"/>
        <w:spacing w:beforeLines="0" w:before="120" w:after="220" w:afterAutospacing="0"/>
        <w:rPr>
          <w:sz w:val="22"/>
          <w:szCs w:val="22"/>
        </w:rPr>
      </w:pPr>
      <w:r w:rsidRPr="00C34876">
        <w:rPr>
          <w:sz w:val="22"/>
          <w:szCs w:val="22"/>
          <w:u w:val="single"/>
        </w:rPr>
        <w:t xml:space="preserve">Proposal </w:t>
      </w:r>
      <w:r>
        <w:rPr>
          <w:sz w:val="22"/>
          <w:szCs w:val="22"/>
          <w:u w:val="single"/>
        </w:rPr>
        <w:t>2</w:t>
      </w:r>
      <w:r w:rsidRPr="00C34876">
        <w:rPr>
          <w:sz w:val="22"/>
          <w:szCs w:val="22"/>
          <w:u w:val="single"/>
        </w:rPr>
        <w:t>:</w:t>
      </w:r>
      <w:r>
        <w:rPr>
          <w:sz w:val="22"/>
          <w:szCs w:val="22"/>
        </w:rPr>
        <w:t xml:space="preserve"> Similarly to paging monitoring, a UE is not expected to receive SC-PTM while in connected mode. The </w:t>
      </w:r>
      <w:proofErr w:type="spellStart"/>
      <w:r>
        <w:rPr>
          <w:sz w:val="22"/>
          <w:szCs w:val="22"/>
        </w:rPr>
        <w:t>eNB</w:t>
      </w:r>
      <w:proofErr w:type="spellEnd"/>
      <w:r>
        <w:rPr>
          <w:sz w:val="22"/>
          <w:szCs w:val="22"/>
        </w:rPr>
        <w:t xml:space="preserve"> should release the connection to enable this monitoring.</w:t>
      </w:r>
    </w:p>
    <w:p w14:paraId="04E53B84" w14:textId="77777777" w:rsidR="006F05CF" w:rsidRDefault="006F05CF" w:rsidP="006F05CF">
      <w:pPr>
        <w:pStyle w:val="LGTdoc1"/>
        <w:spacing w:beforeLines="0" w:before="120" w:after="220" w:afterAutospacing="0"/>
        <w:rPr>
          <w:sz w:val="22"/>
          <w:szCs w:val="22"/>
        </w:rPr>
      </w:pPr>
      <w:r w:rsidRPr="005142E4">
        <w:rPr>
          <w:sz w:val="22"/>
          <w:szCs w:val="22"/>
          <w:u w:val="single"/>
        </w:rPr>
        <w:t xml:space="preserve">Proposal </w:t>
      </w:r>
      <w:r>
        <w:rPr>
          <w:sz w:val="22"/>
          <w:szCs w:val="22"/>
          <w:u w:val="single"/>
        </w:rPr>
        <w:t>3</w:t>
      </w:r>
      <w:r w:rsidRPr="005142E4">
        <w:rPr>
          <w:sz w:val="22"/>
          <w:szCs w:val="22"/>
          <w:u w:val="single"/>
        </w:rPr>
        <w:t>:</w:t>
      </w:r>
      <w:r>
        <w:rPr>
          <w:sz w:val="22"/>
          <w:szCs w:val="22"/>
        </w:rPr>
        <w:t xml:space="preserve"> Introduce control-less transmission for SC-PTM.</w:t>
      </w:r>
    </w:p>
    <w:p w14:paraId="620C8BC0" w14:textId="77777777" w:rsidR="006F05CF" w:rsidRDefault="006F05CF" w:rsidP="006F05CF">
      <w:pPr>
        <w:pStyle w:val="LGTdoc1"/>
        <w:spacing w:beforeLines="0" w:before="120" w:after="220" w:afterAutospacing="0"/>
        <w:rPr>
          <w:sz w:val="22"/>
          <w:szCs w:val="22"/>
        </w:rPr>
      </w:pPr>
      <w:r w:rsidRPr="00BB5BCC">
        <w:rPr>
          <w:sz w:val="22"/>
          <w:szCs w:val="22"/>
          <w:u w:val="single"/>
        </w:rPr>
        <w:t>Observation 1:</w:t>
      </w:r>
      <w:r>
        <w:rPr>
          <w:sz w:val="22"/>
          <w:szCs w:val="22"/>
        </w:rPr>
        <w:t xml:space="preserve"> If the number of repetitions for SC-PTM targets the worst case UE, UEs in good coverage may use more energy than necessary to receive SC-PTM.</w:t>
      </w:r>
    </w:p>
    <w:p w14:paraId="1EBB25D5" w14:textId="77777777" w:rsidR="006F05CF" w:rsidRDefault="006F05CF" w:rsidP="006F05CF">
      <w:pPr>
        <w:pStyle w:val="LGTdoc1"/>
        <w:spacing w:beforeLines="0" w:before="120" w:after="220" w:afterAutospacing="0"/>
        <w:rPr>
          <w:sz w:val="22"/>
          <w:szCs w:val="22"/>
        </w:rPr>
      </w:pPr>
      <w:r w:rsidRPr="006F05CF">
        <w:rPr>
          <w:sz w:val="22"/>
          <w:szCs w:val="22"/>
          <w:u w:val="single"/>
        </w:rPr>
        <w:t>Proposal 4</w:t>
      </w:r>
      <w:r>
        <w:rPr>
          <w:sz w:val="22"/>
          <w:szCs w:val="22"/>
          <w:u w:val="single"/>
        </w:rPr>
        <w:t>:</w:t>
      </w:r>
      <w:r>
        <w:rPr>
          <w:b w:val="0"/>
          <w:sz w:val="22"/>
          <w:szCs w:val="22"/>
          <w:u w:val="single"/>
        </w:rPr>
        <w:t xml:space="preserve"> </w:t>
      </w:r>
      <w:r>
        <w:rPr>
          <w:sz w:val="22"/>
          <w:szCs w:val="22"/>
        </w:rPr>
        <w:t>Consider schemes like the one in Figure 2 to convey information efficiently to different coverage levels</w:t>
      </w:r>
    </w:p>
    <w:p w14:paraId="552C0FC5" w14:textId="77777777" w:rsidR="00A33FC8" w:rsidRPr="0058605B" w:rsidRDefault="00A33FC8" w:rsidP="006F5C8E">
      <w:pPr>
        <w:pStyle w:val="LGTdoc1"/>
        <w:spacing w:beforeLines="0" w:before="120" w:after="220" w:afterAutospacing="0"/>
        <w:rPr>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78CF3" w14:textId="77777777" w:rsidR="0044003E" w:rsidRDefault="0044003E">
      <w:r>
        <w:separator/>
      </w:r>
    </w:p>
  </w:endnote>
  <w:endnote w:type="continuationSeparator" w:id="0">
    <w:p w14:paraId="60DD7625" w14:textId="77777777" w:rsidR="0044003E" w:rsidRDefault="0044003E">
      <w:r>
        <w:continuationSeparator/>
      </w:r>
    </w:p>
  </w:endnote>
  <w:endnote w:type="continuationNotice" w:id="1">
    <w:p w14:paraId="4841BF19" w14:textId="77777777" w:rsidR="0044003E" w:rsidRDefault="00440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0984">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F767E" w14:textId="77777777" w:rsidR="0044003E" w:rsidRDefault="0044003E">
      <w:r>
        <w:separator/>
      </w:r>
    </w:p>
  </w:footnote>
  <w:footnote w:type="continuationSeparator" w:id="0">
    <w:p w14:paraId="16090C95" w14:textId="77777777" w:rsidR="0044003E" w:rsidRDefault="0044003E">
      <w:r>
        <w:continuationSeparator/>
      </w:r>
    </w:p>
  </w:footnote>
  <w:footnote w:type="continuationNotice" w:id="1">
    <w:p w14:paraId="19B9E917" w14:textId="77777777" w:rsidR="0044003E" w:rsidRDefault="004400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3"/>
  </w:num>
  <w:num w:numId="2">
    <w:abstractNumId w:val="2"/>
  </w:num>
  <w:num w:numId="3">
    <w:abstractNumId w:val="4"/>
  </w:num>
  <w:num w:numId="4">
    <w:abstractNumId w:val="6"/>
  </w:num>
  <w:num w:numId="5">
    <w:abstractNumId w:val="7"/>
  </w:num>
  <w:num w:numId="6">
    <w:abstractNumId w:val="0"/>
  </w:num>
  <w:num w:numId="7">
    <w:abstractNumId w:val="8"/>
  </w:num>
  <w:num w:numId="8">
    <w:abstractNumId w:val="5"/>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Excel_97-2003_Worksheet1.xls"/><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BBE78E30-90DB-418E-B4B9-817A5151E715}">
  <ds:schemaRefs>
    <ds:schemaRef ds:uri="http://schemas.openxmlformats.org/officeDocument/2006/bibliography"/>
  </ds:schemaRefs>
</ds:datastoreItem>
</file>

<file path=customXml/itemProps7.xml><?xml version="1.0" encoding="utf-8"?>
<ds:datastoreItem xmlns:ds="http://schemas.openxmlformats.org/officeDocument/2006/customXml" ds:itemID="{4E1308EC-F34F-4CB4-8EFA-3C80AD50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4</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28</cp:revision>
  <cp:lastPrinted>2010-08-13T21:54:00Z</cp:lastPrinted>
  <dcterms:created xsi:type="dcterms:W3CDTF">2016-03-22T22:35:00Z</dcterms:created>
  <dcterms:modified xsi:type="dcterms:W3CDTF">2016-08-12T03:20:00Z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